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15C82">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Cs/>
          <w:sz w:val="32"/>
          <w:szCs w:val="32"/>
          <w:lang w:val="en-US" w:eastAsia="zh-CN"/>
        </w:rPr>
      </w:pPr>
      <w:bookmarkStart w:id="0" w:name="_GoBack"/>
      <w:r>
        <w:rPr>
          <w:rFonts w:hint="eastAsia" w:ascii="黑体" w:hAnsi="黑体" w:eastAsia="黑体" w:cs="黑体"/>
          <w:bCs/>
          <w:sz w:val="32"/>
          <w:szCs w:val="32"/>
          <w:lang w:val="en-US" w:eastAsia="zh-CN"/>
        </w:rPr>
        <w:t>附件</w:t>
      </w:r>
    </w:p>
    <w:p w14:paraId="32420688">
      <w:pPr>
        <w:spacing w:line="560" w:lineRule="exact"/>
        <w:ind w:firstLine="440" w:firstLineChars="100"/>
        <w:jc w:val="center"/>
        <w:rPr>
          <w:rFonts w:hint="eastAsia" w:ascii="方正小标宋简体" w:hAnsi="方正小标宋简体" w:eastAsia="方正小标宋简体" w:cs="方正小标宋简体"/>
          <w:b w:val="0"/>
          <w:bCs w:val="0"/>
          <w:color w:val="000000"/>
          <w:sz w:val="44"/>
          <w:szCs w:val="44"/>
        </w:rPr>
      </w:pPr>
    </w:p>
    <w:p w14:paraId="26EC3924">
      <w:pPr>
        <w:spacing w:line="560" w:lineRule="exact"/>
        <w:ind w:firstLine="396" w:firstLineChars="100"/>
        <w:jc w:val="center"/>
        <w:rPr>
          <w:rFonts w:hint="eastAsia" w:ascii="方正小标宋简体" w:hAnsi="方正小标宋简体" w:eastAsia="方正小标宋简体" w:cs="方正小标宋简体"/>
          <w:b w:val="0"/>
          <w:bCs w:val="0"/>
          <w:color w:val="000000"/>
          <w:w w:val="90"/>
          <w:sz w:val="44"/>
          <w:szCs w:val="44"/>
        </w:rPr>
      </w:pPr>
      <w:r>
        <w:rPr>
          <w:rFonts w:hint="eastAsia" w:ascii="方正小标宋简体" w:hAnsi="方正小标宋简体" w:eastAsia="方正小标宋简体" w:cs="方正小标宋简体"/>
          <w:b w:val="0"/>
          <w:bCs w:val="0"/>
          <w:color w:val="000000"/>
          <w:w w:val="90"/>
          <w:sz w:val="44"/>
          <w:szCs w:val="44"/>
          <w:lang w:eastAsia="zh-CN"/>
        </w:rPr>
        <w:t>拟验收通过的</w:t>
      </w:r>
      <w:r>
        <w:rPr>
          <w:rFonts w:hint="eastAsia" w:ascii="方正小标宋简体" w:hAnsi="方正小标宋简体" w:eastAsia="方正小标宋简体" w:cs="方正小标宋简体"/>
          <w:b w:val="0"/>
          <w:bCs w:val="0"/>
          <w:color w:val="000000"/>
          <w:w w:val="90"/>
          <w:sz w:val="44"/>
          <w:szCs w:val="44"/>
          <w:lang w:val="en-US" w:eastAsia="zh-CN"/>
        </w:rPr>
        <w:t>2022年</w:t>
      </w:r>
      <w:r>
        <w:rPr>
          <w:rFonts w:hint="eastAsia" w:ascii="方正小标宋简体" w:hAnsi="方正小标宋简体" w:eastAsia="方正小标宋简体" w:cs="方正小标宋简体"/>
          <w:b w:val="0"/>
          <w:bCs w:val="0"/>
          <w:color w:val="000000"/>
          <w:w w:val="90"/>
          <w:sz w:val="44"/>
          <w:szCs w:val="44"/>
        </w:rPr>
        <w:t>农产品</w:t>
      </w:r>
      <w:r>
        <w:rPr>
          <w:rFonts w:hint="eastAsia" w:ascii="方正小标宋简体" w:hAnsi="方正小标宋简体" w:eastAsia="方正小标宋简体" w:cs="方正小标宋简体"/>
          <w:b w:val="0"/>
          <w:bCs w:val="0"/>
          <w:color w:val="000000"/>
          <w:w w:val="90"/>
          <w:sz w:val="44"/>
          <w:szCs w:val="44"/>
          <w:lang w:val="zh-TW"/>
        </w:rPr>
        <w:t>供应链体系建设项目清单</w:t>
      </w:r>
    </w:p>
    <w:bookmarkEnd w:id="0"/>
    <w:tbl>
      <w:tblPr>
        <w:tblStyle w:val="7"/>
        <w:tblpPr w:leftFromText="180" w:rightFromText="180" w:vertAnchor="text" w:horzAnchor="page" w:tblpX="953" w:tblpY="122"/>
        <w:tblOverlap w:val="never"/>
        <w:tblW w:w="14865" w:type="dxa"/>
        <w:tblInd w:w="0" w:type="dxa"/>
        <w:tblLayout w:type="fixed"/>
        <w:tblCellMar>
          <w:top w:w="0" w:type="dxa"/>
          <w:left w:w="108" w:type="dxa"/>
          <w:bottom w:w="0" w:type="dxa"/>
          <w:right w:w="108" w:type="dxa"/>
        </w:tblCellMar>
      </w:tblPr>
      <w:tblGrid>
        <w:gridCol w:w="507"/>
        <w:gridCol w:w="1425"/>
        <w:gridCol w:w="768"/>
        <w:gridCol w:w="1500"/>
        <w:gridCol w:w="1020"/>
        <w:gridCol w:w="975"/>
        <w:gridCol w:w="960"/>
        <w:gridCol w:w="990"/>
        <w:gridCol w:w="3885"/>
        <w:gridCol w:w="2835"/>
      </w:tblGrid>
      <w:tr w14:paraId="0F1E6400">
        <w:tblPrEx>
          <w:tblCellMar>
            <w:top w:w="0" w:type="dxa"/>
            <w:left w:w="108" w:type="dxa"/>
            <w:bottom w:w="0" w:type="dxa"/>
            <w:right w:w="108" w:type="dxa"/>
          </w:tblCellMar>
        </w:tblPrEx>
        <w:trPr>
          <w:trHeight w:val="1892"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51764F43">
            <w:pPr>
              <w:widowControl/>
              <w:spacing w:line="300" w:lineRule="exact"/>
              <w:jc w:val="center"/>
              <w:textAlignment w:val="center"/>
              <w:rPr>
                <w:rFonts w:ascii="Times New Roman" w:hAnsi="Times New Roman" w:eastAsia="CESI仿宋-GB2312"/>
                <w:b/>
                <w:sz w:val="24"/>
              </w:rPr>
            </w:pPr>
            <w:r>
              <w:rPr>
                <w:rFonts w:ascii="Times New Roman" w:hAnsi="Times New Roman" w:eastAsia="仿宋_GB2312"/>
                <w:b/>
                <w:color w:val="000000"/>
                <w:kern w:val="0"/>
                <w:sz w:val="24"/>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95721D6">
            <w:pPr>
              <w:widowControl/>
              <w:spacing w:line="300" w:lineRule="exact"/>
              <w:jc w:val="center"/>
              <w:textAlignment w:val="center"/>
              <w:rPr>
                <w:rFonts w:ascii="Times New Roman" w:hAnsi="Times New Roman" w:eastAsia="CESI仿宋-GB2312"/>
                <w:b/>
                <w:sz w:val="24"/>
              </w:rPr>
            </w:pPr>
            <w:r>
              <w:rPr>
                <w:rFonts w:ascii="Times New Roman" w:hAnsi="Times New Roman" w:eastAsia="仿宋_GB2312"/>
                <w:b/>
                <w:color w:val="000000"/>
                <w:kern w:val="0"/>
                <w:sz w:val="24"/>
              </w:rPr>
              <w:t>项目名称</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25FDC55">
            <w:pPr>
              <w:widowControl/>
              <w:spacing w:line="300" w:lineRule="exact"/>
              <w:jc w:val="center"/>
              <w:textAlignment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建设性质（新建、改造）</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8A81E74">
            <w:pPr>
              <w:widowControl/>
              <w:spacing w:line="300" w:lineRule="exact"/>
              <w:jc w:val="center"/>
              <w:textAlignment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承办</w:t>
            </w:r>
            <w:r>
              <w:rPr>
                <w:rFonts w:ascii="Times New Roman" w:hAnsi="Times New Roman" w:eastAsia="仿宋_GB2312" w:cs="Times New Roman"/>
                <w:b/>
                <w:color w:val="000000"/>
                <w:kern w:val="0"/>
                <w:sz w:val="24"/>
              </w:rPr>
              <w:br w:type="textWrapping"/>
            </w:r>
            <w:r>
              <w:rPr>
                <w:rFonts w:ascii="Times New Roman" w:hAnsi="Times New Roman" w:eastAsia="仿宋_GB2312" w:cs="Times New Roman"/>
                <w:b/>
                <w:color w:val="000000"/>
                <w:kern w:val="0"/>
                <w:sz w:val="24"/>
              </w:rPr>
              <w:t>企业</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4BD9BDE">
            <w:pPr>
              <w:widowControl/>
              <w:spacing w:line="300" w:lineRule="exact"/>
              <w:jc w:val="center"/>
              <w:textAlignment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建设地点</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113F29F6">
            <w:pPr>
              <w:widowControl/>
              <w:spacing w:line="300" w:lineRule="exact"/>
              <w:jc w:val="center"/>
              <w:textAlignment w:val="center"/>
              <w:rPr>
                <w:rFonts w:ascii="Times New Roman" w:hAnsi="Times New Roman" w:eastAsia="仿宋_GB2312" w:cs="Times New Roman"/>
                <w:b/>
                <w:color w:val="000000"/>
                <w:kern w:val="0"/>
                <w:sz w:val="24"/>
              </w:rPr>
            </w:pPr>
            <w:r>
              <w:rPr>
                <w:rFonts w:ascii="Times New Roman" w:hAnsi="Times New Roman" w:eastAsia="仿宋_GB2312" w:cs="Times New Roman"/>
                <w:b/>
                <w:color w:val="000000"/>
                <w:kern w:val="0"/>
                <w:sz w:val="24"/>
              </w:rPr>
              <w:t>投资总额（单位：万元）</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6CD8BE1">
            <w:pPr>
              <w:widowControl/>
              <w:spacing w:line="300" w:lineRule="exact"/>
              <w:jc w:val="center"/>
              <w:textAlignment w:val="center"/>
              <w:rPr>
                <w:rFonts w:ascii="Times New Roman" w:hAnsi="Times New Roman" w:eastAsia="仿宋_GB2312" w:cs="Times New Roman"/>
                <w:b/>
                <w:color w:val="000000"/>
                <w:kern w:val="0"/>
                <w:sz w:val="24"/>
              </w:rPr>
            </w:pPr>
            <w:r>
              <w:rPr>
                <w:rFonts w:hint="eastAsia" w:ascii="Times New Roman" w:hAnsi="Times New Roman" w:eastAsia="仿宋_GB2312" w:cs="Times New Roman"/>
                <w:b/>
                <w:color w:val="000000"/>
                <w:kern w:val="0"/>
                <w:sz w:val="24"/>
                <w:lang w:val="en-US" w:eastAsia="zh-CN"/>
              </w:rPr>
              <w:t>实际</w:t>
            </w:r>
            <w:r>
              <w:rPr>
                <w:rFonts w:ascii="Times New Roman" w:hAnsi="Times New Roman" w:eastAsia="仿宋_GB2312" w:cs="Times New Roman"/>
                <w:b/>
                <w:color w:val="000000"/>
                <w:kern w:val="0"/>
                <w:sz w:val="24"/>
              </w:rPr>
              <w:t>完成投资（单位：万元）</w:t>
            </w:r>
          </w:p>
        </w:tc>
        <w:tc>
          <w:tcPr>
            <w:tcW w:w="990" w:type="dxa"/>
            <w:tcBorders>
              <w:top w:val="single" w:color="000000" w:sz="4" w:space="0"/>
              <w:left w:val="single" w:color="000000" w:sz="4" w:space="0"/>
              <w:right w:val="single" w:color="000000" w:sz="4" w:space="0"/>
            </w:tcBorders>
            <w:noWrap w:val="0"/>
            <w:vAlign w:val="center"/>
          </w:tcPr>
          <w:p w14:paraId="178B0556">
            <w:pPr>
              <w:widowControl/>
              <w:spacing w:line="300" w:lineRule="exact"/>
              <w:jc w:val="left"/>
              <w:textAlignment w:val="center"/>
              <w:rPr>
                <w:rFonts w:ascii="Times New Roman" w:hAnsi="Times New Roman" w:eastAsia="CESI仿宋-GB2312"/>
                <w:b/>
                <w:sz w:val="24"/>
              </w:rPr>
            </w:pPr>
            <w:r>
              <w:rPr>
                <w:rFonts w:ascii="Times New Roman" w:hAnsi="Times New Roman" w:eastAsia="仿宋_GB2312"/>
                <w:b/>
                <w:color w:val="000000"/>
                <w:kern w:val="0"/>
                <w:sz w:val="24"/>
              </w:rPr>
              <w:t>奖补金额（单位：万元）</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474F937E">
            <w:pPr>
              <w:widowControl/>
              <w:spacing w:line="300" w:lineRule="exact"/>
              <w:jc w:val="center"/>
              <w:textAlignment w:val="center"/>
              <w:rPr>
                <w:rFonts w:ascii="Times New Roman" w:hAnsi="Times New Roman" w:eastAsia="CESI仿宋-GB2312"/>
                <w:b/>
                <w:sz w:val="24"/>
              </w:rPr>
            </w:pPr>
            <w:r>
              <w:rPr>
                <w:rFonts w:ascii="Times New Roman" w:hAnsi="Times New Roman" w:eastAsia="仿宋_GB2312"/>
                <w:b/>
                <w:color w:val="000000"/>
                <w:kern w:val="0"/>
                <w:sz w:val="24"/>
              </w:rPr>
              <w:t>主要建设内容和规模</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5F206BEA">
            <w:pPr>
              <w:widowControl/>
              <w:spacing w:line="300" w:lineRule="exact"/>
              <w:jc w:val="center"/>
              <w:textAlignment w:val="center"/>
              <w:rPr>
                <w:rFonts w:ascii="Times New Roman" w:hAnsi="Times New Roman" w:eastAsia="仿宋_GB2312"/>
                <w:b/>
                <w:color w:val="000000"/>
                <w:kern w:val="0"/>
                <w:sz w:val="24"/>
              </w:rPr>
            </w:pPr>
            <w:r>
              <w:rPr>
                <w:rFonts w:ascii="Times New Roman" w:hAnsi="Times New Roman" w:eastAsia="仿宋_GB2312"/>
                <w:b/>
                <w:color w:val="000000"/>
                <w:kern w:val="0"/>
                <w:sz w:val="24"/>
              </w:rPr>
              <w:t>实现</w:t>
            </w:r>
            <w:r>
              <w:rPr>
                <w:rFonts w:ascii="Times New Roman" w:hAnsi="Times New Roman" w:eastAsia="仿宋_GB2312"/>
                <w:b/>
                <w:color w:val="000000"/>
                <w:kern w:val="0"/>
                <w:sz w:val="24"/>
              </w:rPr>
              <w:br w:type="textWrapping"/>
            </w:r>
            <w:r>
              <w:rPr>
                <w:rFonts w:ascii="Times New Roman" w:hAnsi="Times New Roman" w:eastAsia="仿宋_GB2312"/>
                <w:b/>
                <w:color w:val="000000"/>
                <w:kern w:val="0"/>
                <w:sz w:val="24"/>
              </w:rPr>
              <w:t>功能</w:t>
            </w:r>
          </w:p>
        </w:tc>
      </w:tr>
      <w:tr w14:paraId="77783FC4">
        <w:tblPrEx>
          <w:tblCellMar>
            <w:top w:w="0" w:type="dxa"/>
            <w:left w:w="108" w:type="dxa"/>
            <w:bottom w:w="0" w:type="dxa"/>
            <w:right w:w="108" w:type="dxa"/>
          </w:tblCellMar>
        </w:tblPrEx>
        <w:trPr>
          <w:trHeight w:val="2279"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4B241208">
            <w:pPr>
              <w:widowControl/>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24"/>
              </w:rPr>
              <w:t>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0B76FA50">
            <w:pPr>
              <w:widowControl/>
              <w:spacing w:line="300" w:lineRule="exact"/>
              <w:jc w:val="center"/>
              <w:textAlignment w:val="center"/>
              <w:rPr>
                <w:rFonts w:ascii="Times New Roman" w:hAnsi="Times New Roman" w:eastAsia="仿宋_GB2312"/>
                <w:bCs/>
                <w:sz w:val="24"/>
              </w:rPr>
            </w:pPr>
            <w:r>
              <w:rPr>
                <w:rFonts w:ascii="Times New Roman" w:hAnsi="Times New Roman" w:eastAsia="仿宋_GB2312"/>
                <w:color w:val="000000"/>
                <w:kern w:val="0"/>
                <w:sz w:val="24"/>
              </w:rPr>
              <w:t>伊米阳光仓储冷链物流及农村零售网点建设项目（连锁商超冷链设施升级改造）</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FB5E1DC">
            <w:pPr>
              <w:widowControl/>
              <w:spacing w:line="300" w:lineRule="exact"/>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改扩建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3EAC05C">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犍为县伊米阳光超市有限公司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9D841F0">
            <w:pPr>
              <w:widowControl/>
              <w:spacing w:line="24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犍为县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0D75DF8">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668</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35A17E">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672.41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1EB7580">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157</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3161C91A">
            <w:pPr>
              <w:widowControl/>
              <w:spacing w:line="300" w:lineRule="exact"/>
              <w:jc w:val="left"/>
              <w:textAlignment w:val="center"/>
              <w:rPr>
                <w:rFonts w:ascii="Times New Roman" w:hAnsi="Times New Roman" w:eastAsia="仿宋_GB2312"/>
                <w:color w:val="000000"/>
                <w:sz w:val="22"/>
              </w:rPr>
            </w:pPr>
            <w:r>
              <w:rPr>
                <w:rFonts w:ascii="Times New Roman" w:hAnsi="Times New Roman" w:eastAsia="仿宋_GB2312"/>
                <w:color w:val="000000"/>
                <w:kern w:val="0"/>
                <w:sz w:val="24"/>
              </w:rPr>
              <w:t>改扩建农产品仓储冷库4000立方米，</w:t>
            </w:r>
            <w:r>
              <w:rPr>
                <w:rStyle w:val="24"/>
                <w:rFonts w:hint="default" w:ascii="Times New Roman" w:hAnsi="Times New Roman" w:eastAsia="仿宋_GB2312"/>
              </w:rPr>
              <w:t>可储存农产品2000吨</w:t>
            </w:r>
            <w:r>
              <w:rPr>
                <w:rFonts w:ascii="Times New Roman" w:hAnsi="Times New Roman" w:eastAsia="仿宋_GB2312"/>
                <w:color w:val="000000"/>
                <w:kern w:val="0"/>
                <w:sz w:val="24"/>
              </w:rPr>
              <w:t>，购置农产品冷链配送车辆8台；购买冰柜、冰箱等零售终端网点冷链保鲜设施100台。</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744E924">
            <w:pPr>
              <w:widowControl/>
              <w:spacing w:line="300" w:lineRule="exact"/>
              <w:jc w:val="left"/>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冷链流通率提高30%，农产品生鲜损耗率下降15%，农产品销售量提高10%，农产品附加值提升15%。项目覆盖周边人口30万人。</w:t>
            </w:r>
          </w:p>
        </w:tc>
      </w:tr>
      <w:tr w14:paraId="30CA87C6">
        <w:tblPrEx>
          <w:tblCellMar>
            <w:top w:w="0" w:type="dxa"/>
            <w:left w:w="108" w:type="dxa"/>
            <w:bottom w:w="0" w:type="dxa"/>
            <w:right w:w="108" w:type="dxa"/>
          </w:tblCellMar>
        </w:tblPrEx>
        <w:trPr>
          <w:trHeight w:val="212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373BCC44">
            <w:pPr>
              <w:widowControl/>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24"/>
              </w:rPr>
              <w:t>2</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1B3A9CF9">
            <w:pPr>
              <w:widowControl/>
              <w:spacing w:line="300" w:lineRule="exact"/>
              <w:jc w:val="center"/>
              <w:textAlignment w:val="center"/>
              <w:rPr>
                <w:rFonts w:ascii="Times New Roman" w:hAnsi="Times New Roman" w:eastAsia="仿宋_GB2312"/>
                <w:bCs/>
                <w:sz w:val="24"/>
              </w:rPr>
            </w:pPr>
            <w:r>
              <w:rPr>
                <w:rFonts w:ascii="Times New Roman" w:hAnsi="Times New Roman" w:eastAsia="仿宋_GB2312"/>
                <w:kern w:val="0"/>
                <w:sz w:val="24"/>
              </w:rPr>
              <w:t>兴盛安达冷链网络建设（农产品市场报供）</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44D8CF8">
            <w:pPr>
              <w:widowControl/>
              <w:spacing w:line="300" w:lineRule="exact"/>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改造提升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C3780BB">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乐山兴盛安达商贸有限公司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98A14CA">
            <w:pPr>
              <w:widowControl/>
              <w:spacing w:line="24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井研县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32229B06">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120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D78A9E0">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122</w:t>
            </w:r>
            <w:r>
              <w:rPr>
                <w:rFonts w:hint="eastAsia" w:ascii="Times New Roman" w:hAnsi="Times New Roman" w:eastAsia="仿宋_GB2312" w:cs="Times New Roman"/>
                <w:color w:val="000000"/>
                <w:kern w:val="0"/>
                <w:sz w:val="24"/>
                <w:lang w:val="en-US" w:eastAsia="zh-CN"/>
              </w:rPr>
              <w:t>.</w:t>
            </w:r>
            <w:r>
              <w:rPr>
                <w:rFonts w:hint="eastAsia" w:ascii="Times New Roman" w:hAnsi="Times New Roman" w:eastAsia="仿宋_GB2312" w:cs="Times New Roman"/>
                <w:color w:val="000000"/>
                <w:kern w:val="0"/>
                <w:sz w:val="24"/>
              </w:rPr>
              <w:t>22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229EC0EE">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28.2</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52B786D7">
            <w:pPr>
              <w:widowControl/>
              <w:spacing w:line="300" w:lineRule="exact"/>
              <w:jc w:val="left"/>
              <w:textAlignment w:val="center"/>
              <w:rPr>
                <w:rFonts w:ascii="Times New Roman" w:hAnsi="Times New Roman" w:eastAsia="仿宋_GB2312"/>
                <w:color w:val="000000"/>
                <w:sz w:val="22"/>
              </w:rPr>
            </w:pPr>
            <w:r>
              <w:rPr>
                <w:rFonts w:ascii="Times New Roman" w:hAnsi="Times New Roman" w:eastAsia="仿宋_GB2312"/>
                <w:color w:val="000000"/>
                <w:kern w:val="0"/>
                <w:sz w:val="24"/>
              </w:rPr>
              <w:t>对现有1250立方米（可存储农产品600吨）的冷链物流配送中心进行改造提升，购置冷链配送车2辆和冷冻品分拣框、货架等基础设施。新购260台冰箱冰柜等销售终端冷链配套设施、设备。</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7F544695">
            <w:pPr>
              <w:widowControl/>
              <w:spacing w:line="300" w:lineRule="exact"/>
              <w:jc w:val="left"/>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冷链流通率提高20%，农产品生鲜损耗率下降10%，农产品销售率提高10%，农产品附加值提高10%，项目覆盖井研县10万人。</w:t>
            </w:r>
          </w:p>
        </w:tc>
      </w:tr>
      <w:tr w14:paraId="17FD68FD">
        <w:tblPrEx>
          <w:tblCellMar>
            <w:top w:w="0" w:type="dxa"/>
            <w:left w:w="108" w:type="dxa"/>
            <w:bottom w:w="0" w:type="dxa"/>
            <w:right w:w="108" w:type="dxa"/>
          </w:tblCellMar>
        </w:tblPrEx>
        <w:trPr>
          <w:trHeight w:val="4754"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30E1C972">
            <w:pPr>
              <w:widowControl/>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24"/>
              </w:rPr>
              <w:t>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6BEE117">
            <w:pPr>
              <w:widowControl/>
              <w:spacing w:line="300" w:lineRule="exact"/>
              <w:jc w:val="center"/>
              <w:textAlignment w:val="center"/>
              <w:rPr>
                <w:rFonts w:ascii="Times New Roman" w:hAnsi="Times New Roman" w:eastAsia="仿宋_GB2312"/>
                <w:bCs/>
                <w:sz w:val="24"/>
              </w:rPr>
            </w:pPr>
            <w:r>
              <w:rPr>
                <w:rFonts w:ascii="Times New Roman" w:hAnsi="Times New Roman" w:eastAsia="仿宋_GB2312"/>
                <w:color w:val="000000"/>
                <w:kern w:val="0"/>
                <w:sz w:val="24"/>
              </w:rPr>
              <w:t>井研县冷链物流配送中心项目（冷链仓储一期）（农产品批发市场新建冷链设施）</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61E6A9A">
            <w:pPr>
              <w:widowControl/>
              <w:spacing w:line="300" w:lineRule="exact"/>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改造、新建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E9487E7">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四川研泰资产经营投资有限责任公司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0EC2B22">
            <w:pPr>
              <w:widowControl/>
              <w:spacing w:line="24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井研县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2218A754">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2100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E48F0FB">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2492</w:t>
            </w:r>
            <w:r>
              <w:rPr>
                <w:rFonts w:hint="eastAsia" w:ascii="Times New Roman" w:hAnsi="Times New Roman" w:eastAsia="仿宋_GB2312" w:cs="Times New Roman"/>
                <w:color w:val="000000"/>
                <w:kern w:val="0"/>
                <w:sz w:val="24"/>
                <w:lang w:val="en-US" w:eastAsia="zh-CN"/>
              </w:rPr>
              <w:t>.</w:t>
            </w:r>
            <w:r>
              <w:rPr>
                <w:rFonts w:hint="eastAsia" w:ascii="Times New Roman" w:hAnsi="Times New Roman" w:eastAsia="仿宋_GB2312" w:cs="Times New Roman"/>
                <w:color w:val="000000"/>
                <w:kern w:val="0"/>
                <w:sz w:val="24"/>
              </w:rPr>
              <w:t>16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D7675E4">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493.8</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69A96246">
            <w:pPr>
              <w:widowControl/>
              <w:spacing w:line="300" w:lineRule="exact"/>
              <w:jc w:val="left"/>
              <w:textAlignment w:val="center"/>
              <w:rPr>
                <w:rFonts w:ascii="Times New Roman" w:hAnsi="Times New Roman" w:eastAsia="仿宋_GB2312"/>
                <w:color w:val="000000"/>
                <w:sz w:val="22"/>
              </w:rPr>
            </w:pPr>
            <w:r>
              <w:rPr>
                <w:rFonts w:ascii="Times New Roman" w:hAnsi="Times New Roman" w:eastAsia="仿宋_GB2312"/>
                <w:color w:val="000000"/>
                <w:kern w:val="0"/>
                <w:sz w:val="24"/>
              </w:rPr>
              <w:t>新建冷藏库，总容积为16500m³</w:t>
            </w:r>
            <w:r>
              <w:rPr>
                <w:rStyle w:val="24"/>
                <w:rFonts w:hint="default" w:ascii="Times New Roman" w:hAnsi="Times New Roman" w:eastAsia="仿宋_GB2312"/>
              </w:rPr>
              <w:t>左右</w:t>
            </w:r>
            <w:r>
              <w:rPr>
                <w:rStyle w:val="25"/>
                <w:rFonts w:hint="default" w:ascii="Times New Roman" w:hAnsi="Times New Roman" w:eastAsia="仿宋_GB2312"/>
              </w:rPr>
              <w:t>，可贮藏10000吨左右。库体部分：包括冷藏库及预冷间的钢结构系统、彩钢夹心聚氨酯保温板、冷藏库门、平移门、地面保温防水材料、库内照明系统、密封及固定系统等；辅助工程：含各类供水管路、电磁阀、膨胀阀、制冷剂、冷冻油、电线电缆、桥架等。设施设备：含制冷机械、压缩机组、水泵、控制系统保温设施、控制系统、信息化管理软件等。</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06B4F974">
            <w:pPr>
              <w:widowControl/>
              <w:spacing w:line="300" w:lineRule="exact"/>
              <w:jc w:val="left"/>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提升井研县冷链流通率20%，农产品生鲜损耗率下降10%，农产品销售率提高20%，农产品附加值提高15%,解决本市场农产品批发市场商冷链需求，新增就业岗位100个。</w:t>
            </w:r>
          </w:p>
        </w:tc>
      </w:tr>
      <w:tr w14:paraId="78EADB64">
        <w:tblPrEx>
          <w:tblCellMar>
            <w:top w:w="0" w:type="dxa"/>
            <w:left w:w="108" w:type="dxa"/>
            <w:bottom w:w="0" w:type="dxa"/>
            <w:right w:w="108" w:type="dxa"/>
          </w:tblCellMar>
        </w:tblPrEx>
        <w:trPr>
          <w:trHeight w:val="3007"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7427FD3B">
            <w:pPr>
              <w:widowControl/>
              <w:spacing w:line="300" w:lineRule="exact"/>
              <w:jc w:val="center"/>
              <w:textAlignment w:val="center"/>
              <w:rPr>
                <w:rFonts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4</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7A87198B">
            <w:pPr>
              <w:widowControl/>
              <w:spacing w:line="300" w:lineRule="exact"/>
              <w:jc w:val="center"/>
              <w:textAlignment w:val="center"/>
              <w:rPr>
                <w:rFonts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井研县聚融祥冷库项目</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3616D0C">
            <w:pPr>
              <w:widowControl/>
              <w:spacing w:line="300" w:lineRule="exact"/>
              <w:jc w:val="center"/>
              <w:textAlignment w:val="center"/>
              <w:rPr>
                <w:rFonts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改造提升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07DB6BB">
            <w:pPr>
              <w:widowControl/>
              <w:spacing w:line="300" w:lineRule="exact"/>
              <w:jc w:val="center"/>
              <w:textAlignment w:val="center"/>
              <w:rPr>
                <w:rFonts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四川聚融祥商贸有限公司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1238E48E">
            <w:pPr>
              <w:widowControl/>
              <w:spacing w:line="300" w:lineRule="exact"/>
              <w:jc w:val="center"/>
              <w:textAlignment w:val="center"/>
              <w:rPr>
                <w:rFonts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井研县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B3DCB86">
            <w:pPr>
              <w:widowControl/>
              <w:spacing w:line="300" w:lineRule="exact"/>
              <w:jc w:val="center"/>
              <w:textAlignment w:val="center"/>
              <w:rPr>
                <w:rFonts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500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D92BC43">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518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B08DF5">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117.6</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1597D82E">
            <w:pPr>
              <w:widowControl/>
              <w:spacing w:line="300" w:lineRule="exact"/>
              <w:jc w:val="center"/>
              <w:textAlignment w:val="center"/>
              <w:rPr>
                <w:rFonts w:ascii="Times New Roman" w:hAnsi="Times New Roman" w:eastAsia="仿宋_GB2312" w:cs="Times New Roman"/>
                <w:bCs/>
                <w:sz w:val="24"/>
              </w:rPr>
            </w:pPr>
            <w:r>
              <w:rPr>
                <w:rFonts w:hint="default" w:ascii="Times New Roman" w:hAnsi="Times New Roman" w:eastAsia="仿宋_GB2312" w:cs="Times New Roman"/>
                <w:bCs/>
                <w:sz w:val="24"/>
                <w:lang w:val="en-US" w:eastAsia="zh-CN"/>
              </w:rPr>
              <w:t>在井研县马踏镇新建冻库约850平方米，容积3000立方米，改造提升马踏镇、三江镇、竹园镇、王村镇冻库约200平方米，容积500立方米，并配套相关设施设备。建设成可容纳农副产品1000多吨，进一步提高产品品质和配送效率，满足市场需求。</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3014A8F6">
            <w:pPr>
              <w:widowControl/>
              <w:spacing w:line="300" w:lineRule="exact"/>
              <w:jc w:val="left"/>
              <w:textAlignment w:val="center"/>
              <w:rPr>
                <w:rFonts w:hint="default" w:ascii="Times New Roman" w:hAnsi="Times New Roman" w:eastAsia="仿宋_GB2312" w:cs="Times New Roman"/>
                <w:bCs/>
                <w:sz w:val="24"/>
              </w:rPr>
            </w:pPr>
            <w:r>
              <w:rPr>
                <w:rFonts w:hint="eastAsia" w:ascii="Times New Roman" w:hAnsi="Times New Roman" w:eastAsia="仿宋_GB2312" w:cs="Times New Roman"/>
                <w:bCs/>
                <w:sz w:val="24"/>
                <w:lang w:val="en-US" w:eastAsia="zh-CN"/>
              </w:rPr>
              <w:t>冻鸡爪等农副产品冷链流通率提高20%；销售量提高30%；附加值提高30%以上。</w:t>
            </w:r>
          </w:p>
        </w:tc>
      </w:tr>
      <w:tr w14:paraId="526F2A63">
        <w:tblPrEx>
          <w:tblCellMar>
            <w:top w:w="0" w:type="dxa"/>
            <w:left w:w="108" w:type="dxa"/>
            <w:bottom w:w="0" w:type="dxa"/>
            <w:right w:w="108" w:type="dxa"/>
          </w:tblCellMar>
        </w:tblPrEx>
        <w:trPr>
          <w:trHeight w:val="242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1B0A53F6">
            <w:pPr>
              <w:widowControl/>
              <w:spacing w:line="300" w:lineRule="exact"/>
              <w:jc w:val="center"/>
              <w:textAlignment w:val="center"/>
              <w:rPr>
                <w:rFonts w:ascii="Times New Roman" w:hAnsi="Times New Roman" w:eastAsia="仿宋_GB2312"/>
                <w:color w:val="000000"/>
                <w:sz w:val="32"/>
                <w:szCs w:val="32"/>
              </w:rPr>
            </w:pPr>
            <w:r>
              <w:rPr>
                <w:rFonts w:ascii="Times New Roman" w:hAnsi="Times New Roman" w:eastAsia="仿宋_GB2312"/>
                <w:color w:val="000000"/>
                <w:kern w:val="0"/>
                <w:sz w:val="24"/>
              </w:rPr>
              <w:t>5</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36A6F58A">
            <w:pPr>
              <w:widowControl/>
              <w:spacing w:line="300" w:lineRule="exact"/>
              <w:jc w:val="center"/>
              <w:textAlignment w:val="center"/>
              <w:rPr>
                <w:rFonts w:ascii="Times New Roman" w:hAnsi="Times New Roman" w:eastAsia="仿宋_GB2312"/>
                <w:bCs/>
                <w:sz w:val="24"/>
              </w:rPr>
            </w:pPr>
            <w:r>
              <w:rPr>
                <w:rFonts w:ascii="Times New Roman" w:hAnsi="Times New Roman" w:eastAsia="仿宋_GB2312"/>
                <w:color w:val="000000"/>
                <w:kern w:val="0"/>
                <w:sz w:val="24"/>
              </w:rPr>
              <w:t>德顺源农产品冷链物流建设项目（销地冷链配送中心）</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F82F620">
            <w:pPr>
              <w:widowControl/>
              <w:spacing w:line="300" w:lineRule="exact"/>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新建</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694AA12">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四川德顺源食品股份有限公司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B3B1960">
            <w:pPr>
              <w:widowControl/>
              <w:spacing w:line="24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马边县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45D560D8">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1050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EEA9BB6">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1054</w:t>
            </w:r>
            <w:r>
              <w:rPr>
                <w:rFonts w:hint="eastAsia" w:ascii="Times New Roman" w:hAnsi="Times New Roman" w:eastAsia="仿宋_GB2312" w:cs="Times New Roman"/>
                <w:color w:val="000000"/>
                <w:kern w:val="0"/>
                <w:sz w:val="24"/>
                <w:lang w:val="en-US" w:eastAsia="zh-CN"/>
              </w:rPr>
              <w:t>.74</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7008DD2">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247</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2B208F23">
            <w:pPr>
              <w:widowControl/>
              <w:spacing w:line="300" w:lineRule="exact"/>
              <w:jc w:val="left"/>
              <w:textAlignment w:val="center"/>
              <w:rPr>
                <w:rFonts w:ascii="Times New Roman" w:hAnsi="Times New Roman" w:eastAsia="仿宋_GB2312"/>
                <w:color w:val="000000"/>
                <w:sz w:val="22"/>
              </w:rPr>
            </w:pPr>
            <w:r>
              <w:rPr>
                <w:rFonts w:ascii="Times New Roman" w:hAnsi="Times New Roman" w:eastAsia="仿宋_GB2312"/>
                <w:color w:val="000000"/>
                <w:kern w:val="0"/>
                <w:sz w:val="24"/>
              </w:rPr>
              <w:t>主体工程：气调库1个，1520立方米、5个低温速冻库13000立方米。可以存储和周转农副产品4000吨。</w:t>
            </w:r>
            <w:r>
              <w:rPr>
                <w:rFonts w:ascii="Times New Roman" w:hAnsi="Times New Roman" w:eastAsia="仿宋_GB2312"/>
                <w:color w:val="000000"/>
                <w:kern w:val="0"/>
                <w:sz w:val="24"/>
              </w:rPr>
              <w:br w:type="textWrapping"/>
            </w:r>
            <w:r>
              <w:rPr>
                <w:rFonts w:ascii="Times New Roman" w:hAnsi="Times New Roman" w:eastAsia="仿宋_GB2312"/>
                <w:color w:val="000000"/>
                <w:kern w:val="0"/>
                <w:sz w:val="24"/>
              </w:rPr>
              <w:t>设施设备：设施设备：制冷机械、风机、保温设施等24台、转运箱2000套、冷藏运输车1辆。</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2D7874AD">
            <w:pPr>
              <w:widowControl/>
              <w:spacing w:line="300" w:lineRule="exact"/>
              <w:jc w:val="left"/>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项目建成后，冷链流通率将提高30%，农产品消耗率下降15%，带动马边县冻干食品出口，提高农产品附加值20-50%。带动马边县0.5万农户增收。</w:t>
            </w:r>
          </w:p>
        </w:tc>
      </w:tr>
      <w:tr w14:paraId="0A444BED">
        <w:tblPrEx>
          <w:tblCellMar>
            <w:top w:w="0" w:type="dxa"/>
            <w:left w:w="108" w:type="dxa"/>
            <w:bottom w:w="0" w:type="dxa"/>
            <w:right w:w="108" w:type="dxa"/>
          </w:tblCellMar>
        </w:tblPrEx>
        <w:trPr>
          <w:trHeight w:val="3068"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36DD5CC2">
            <w:pPr>
              <w:keepNext w:val="0"/>
              <w:keepLines w:val="0"/>
              <w:widowControl/>
              <w:suppressLineNumbers w:val="0"/>
              <w:jc w:val="center"/>
              <w:textAlignment w:val="center"/>
              <w:rPr>
                <w:rFonts w:ascii="Times New Roman" w:hAnsi="Times New Roman" w:eastAsia="仿宋_GB2312"/>
                <w:color w:val="000000"/>
                <w:sz w:val="32"/>
                <w:szCs w:val="32"/>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0FF938F">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乐山惠乐农业冷链集配中心项目（一期）</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C6ED499">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改造提升</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2B541271">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乐山惠乐农业发展有限公司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0876C8">
            <w:pPr>
              <w:widowControl/>
              <w:spacing w:line="300" w:lineRule="exact"/>
              <w:jc w:val="center"/>
              <w:textAlignment w:val="center"/>
              <w:rPr>
                <w:rFonts w:ascii="Times New Roman" w:hAnsi="Times New Roman" w:eastAsia="仿宋_GB2312" w:cs="Times New Roman"/>
                <w:color w:val="000000"/>
                <w:kern w:val="0"/>
                <w:sz w:val="24"/>
                <w:szCs w:val="24"/>
                <w:lang w:val="en-US" w:eastAsia="zh-CN" w:bidi="ar-SA"/>
              </w:rPr>
            </w:pPr>
            <w:r>
              <w:rPr>
                <w:rFonts w:hint="default" w:ascii="Times New Roman" w:hAnsi="Times New Roman" w:eastAsia="仿宋_GB2312" w:cs="Times New Roman"/>
                <w:color w:val="000000"/>
                <w:kern w:val="0"/>
                <w:sz w:val="24"/>
                <w:lang w:val="en-US" w:eastAsia="zh-CN"/>
              </w:rPr>
              <w:t>市中区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69C88DD1">
            <w:pPr>
              <w:widowControl/>
              <w:spacing w:line="300" w:lineRule="exact"/>
              <w:jc w:val="center"/>
              <w:textAlignment w:val="center"/>
              <w:rPr>
                <w:rFonts w:hint="default" w:ascii="Times New Roman" w:hAnsi="Times New Roman" w:eastAsia="仿宋_GB2312" w:cs="Times New Roman"/>
                <w:color w:val="000000"/>
                <w:kern w:val="0"/>
                <w:sz w:val="24"/>
                <w:lang w:val="en-US"/>
              </w:rPr>
            </w:pPr>
            <w:r>
              <w:rPr>
                <w:rFonts w:hint="eastAsia" w:ascii="Times New Roman" w:hAnsi="Times New Roman" w:eastAsia="仿宋_GB2312" w:cs="Times New Roman"/>
                <w:color w:val="000000"/>
                <w:kern w:val="0"/>
                <w:sz w:val="24"/>
                <w:lang w:val="en-US" w:eastAsia="zh-CN"/>
              </w:rPr>
              <w:t>700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31293E1">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lang w:val="en-US" w:eastAsia="zh-CN"/>
              </w:rPr>
              <w:t>702.08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08F70C5E">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164.6</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3D8ADF7D">
            <w:pPr>
              <w:widowControl/>
              <w:spacing w:line="300" w:lineRule="exact"/>
              <w:jc w:val="center"/>
              <w:textAlignment w:val="center"/>
              <w:rPr>
                <w:rFonts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lang w:val="en-US" w:eastAsia="zh-CN"/>
              </w:rPr>
              <w:t>打造惠乐农业冷链集配中心（一期），建设2个冷库，其中：1号冷库建筑面积800㎡、约3000m</w:t>
            </w:r>
            <w:r>
              <w:rPr>
                <w:rFonts w:ascii="Times New Roman" w:hAnsi="Times New Roman" w:eastAsia="仿宋_GB2312" w:cs="Times New Roman"/>
                <w:color w:val="000000"/>
                <w:kern w:val="0"/>
                <w:sz w:val="24"/>
                <w:lang w:val="en-US" w:eastAsia="zh-CN"/>
              </w:rPr>
              <w:t>³；2号冷库1550㎡、约6000m³，总库容约1万吨。</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632F92BE">
            <w:pPr>
              <w:widowControl/>
              <w:spacing w:line="300" w:lineRule="exact"/>
              <w:jc w:val="left"/>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预计年交易额超2000万，服务市中区学校、医院等人群超1万人。增加农产品冷库库容9000</w:t>
            </w:r>
            <w:r>
              <w:rPr>
                <w:rFonts w:hint="default" w:ascii="Times New Roman" w:hAnsi="Times New Roman" w:eastAsia="仿宋_GB2312" w:cs="Times New Roman"/>
                <w:color w:val="000000"/>
                <w:kern w:val="0"/>
                <w:sz w:val="24"/>
                <w:lang w:val="en-US" w:eastAsia="zh-CN"/>
              </w:rPr>
              <w:t>㎥、5千吨，冷链流通率提高30%，农产品消耗率下降15%。提供超100个就业岗位，实现集采集配，有效保障重食材质量安全。</w:t>
            </w:r>
          </w:p>
        </w:tc>
      </w:tr>
      <w:tr w14:paraId="2969FA35">
        <w:tblPrEx>
          <w:tblCellMar>
            <w:top w:w="0" w:type="dxa"/>
            <w:left w:w="108" w:type="dxa"/>
            <w:bottom w:w="0" w:type="dxa"/>
            <w:right w:w="108" w:type="dxa"/>
          </w:tblCellMar>
        </w:tblPrEx>
        <w:trPr>
          <w:trHeight w:val="2625" w:hRule="atLeast"/>
        </w:trPr>
        <w:tc>
          <w:tcPr>
            <w:tcW w:w="507" w:type="dxa"/>
            <w:tcBorders>
              <w:top w:val="single" w:color="000000" w:sz="4" w:space="0"/>
              <w:left w:val="single" w:color="000000" w:sz="4" w:space="0"/>
              <w:bottom w:val="single" w:color="000000" w:sz="4" w:space="0"/>
              <w:right w:val="single" w:color="000000" w:sz="4" w:space="0"/>
            </w:tcBorders>
            <w:noWrap w:val="0"/>
            <w:vAlign w:val="center"/>
          </w:tcPr>
          <w:p w14:paraId="6D419E03">
            <w:pPr>
              <w:widowControl/>
              <w:spacing w:line="300" w:lineRule="exact"/>
              <w:jc w:val="center"/>
              <w:textAlignment w:val="center"/>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kern w:val="0"/>
                <w:sz w:val="24"/>
                <w:lang w:val="en-US" w:eastAsia="zh-CN"/>
              </w:rPr>
              <w:t>7</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28C8EB4B">
            <w:pPr>
              <w:widowControl/>
              <w:spacing w:line="300" w:lineRule="exact"/>
              <w:jc w:val="center"/>
              <w:textAlignment w:val="center"/>
              <w:rPr>
                <w:rFonts w:ascii="Times New Roman" w:hAnsi="Times New Roman" w:eastAsia="仿宋_GB2312"/>
                <w:bCs/>
                <w:sz w:val="24"/>
              </w:rPr>
            </w:pPr>
            <w:r>
              <w:rPr>
                <w:rFonts w:ascii="Times New Roman" w:hAnsi="Times New Roman" w:eastAsia="仿宋_GB2312"/>
                <w:color w:val="000000"/>
                <w:kern w:val="0"/>
                <w:sz w:val="24"/>
              </w:rPr>
              <w:t>森态源冷链仓储扩能项目（销地冷链配送中心）</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8006323">
            <w:pPr>
              <w:widowControl/>
              <w:spacing w:line="300" w:lineRule="exact"/>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改造</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5BE595A">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四川森态源生物科技有限公司</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6F4A65E">
            <w:pPr>
              <w:widowControl/>
              <w:spacing w:line="24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沐川县</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14:paraId="58449C2F">
            <w:pPr>
              <w:widowControl/>
              <w:spacing w:line="300" w:lineRule="exact"/>
              <w:jc w:val="center"/>
              <w:textAlignment w:val="center"/>
              <w:rPr>
                <w:rFonts w:ascii="Times New Roman" w:hAnsi="Times New Roman" w:eastAsia="仿宋_GB2312"/>
                <w:color w:val="000000"/>
                <w:sz w:val="22"/>
              </w:rPr>
            </w:pPr>
            <w:r>
              <w:rPr>
                <w:rFonts w:ascii="Times New Roman" w:hAnsi="Times New Roman" w:eastAsia="仿宋_GB2312"/>
                <w:color w:val="000000"/>
                <w:kern w:val="0"/>
                <w:sz w:val="24"/>
              </w:rPr>
              <w:t>400</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07C8040">
            <w:pPr>
              <w:widowControl/>
              <w:spacing w:line="300" w:lineRule="exact"/>
              <w:jc w:val="center"/>
              <w:textAlignment w:val="center"/>
              <w:rPr>
                <w:rFonts w:hint="default" w:ascii="Times New Roman" w:hAnsi="Times New Roman" w:eastAsia="仿宋_GB2312" w:cs="Times New Roman"/>
                <w:color w:val="000000"/>
                <w:kern w:val="0"/>
                <w:sz w:val="24"/>
                <w:lang w:val="en-US" w:eastAsia="zh-CN"/>
              </w:rPr>
            </w:pPr>
            <w:r>
              <w:rPr>
                <w:rFonts w:hint="eastAsia" w:ascii="Times New Roman" w:hAnsi="Times New Roman" w:eastAsia="仿宋_GB2312" w:cs="Times New Roman"/>
                <w:color w:val="000000"/>
                <w:kern w:val="0"/>
                <w:sz w:val="24"/>
                <w:lang w:val="en-US" w:eastAsia="zh-CN"/>
              </w:rPr>
              <w:t>400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01EED74">
            <w:pPr>
              <w:widowControl/>
              <w:spacing w:line="300" w:lineRule="exact"/>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94</w:t>
            </w:r>
          </w:p>
        </w:tc>
        <w:tc>
          <w:tcPr>
            <w:tcW w:w="3885" w:type="dxa"/>
            <w:tcBorders>
              <w:top w:val="single" w:color="000000" w:sz="4" w:space="0"/>
              <w:left w:val="single" w:color="000000" w:sz="4" w:space="0"/>
              <w:bottom w:val="single" w:color="000000" w:sz="4" w:space="0"/>
              <w:right w:val="single" w:color="000000" w:sz="4" w:space="0"/>
            </w:tcBorders>
            <w:noWrap w:val="0"/>
            <w:vAlign w:val="center"/>
          </w:tcPr>
          <w:p w14:paraId="298BB125">
            <w:pPr>
              <w:widowControl/>
              <w:spacing w:line="300" w:lineRule="exact"/>
              <w:jc w:val="left"/>
              <w:textAlignment w:val="center"/>
              <w:rPr>
                <w:rFonts w:ascii="Times New Roman" w:hAnsi="Times New Roman" w:eastAsia="仿宋_GB2312"/>
                <w:color w:val="000000"/>
                <w:sz w:val="22"/>
              </w:rPr>
            </w:pPr>
            <w:r>
              <w:rPr>
                <w:rFonts w:ascii="Times New Roman" w:hAnsi="Times New Roman" w:eastAsia="仿宋_GB2312"/>
                <w:color w:val="000000"/>
                <w:kern w:val="0"/>
                <w:sz w:val="24"/>
              </w:rPr>
              <w:t>新建3084m³</w:t>
            </w:r>
            <w:r>
              <w:rPr>
                <w:rStyle w:val="14"/>
                <w:rFonts w:hint="default" w:ascii="Times New Roman" w:hAnsi="Times New Roman"/>
              </w:rPr>
              <w:t>高温冷藏库,其一约40m*15m*4m，2400m</w:t>
            </w:r>
            <w:r>
              <w:rPr>
                <w:rFonts w:ascii="Times New Roman" w:hAnsi="Times New Roman" w:eastAsia="仿宋_GB2312"/>
                <w:color w:val="000000"/>
                <w:kern w:val="0"/>
                <w:sz w:val="24"/>
              </w:rPr>
              <w:t>³，</w:t>
            </w:r>
            <w:r>
              <w:rPr>
                <w:rStyle w:val="24"/>
                <w:rFonts w:hint="default" w:ascii="Times New Roman" w:hAnsi="Times New Roman" w:eastAsia="仿宋_GB2312"/>
              </w:rPr>
              <w:t>可储存农产品</w:t>
            </w:r>
            <w:r>
              <w:rPr>
                <w:rFonts w:ascii="Times New Roman" w:hAnsi="Times New Roman" w:eastAsia="仿宋_GB2312"/>
                <w:color w:val="000000"/>
                <w:kern w:val="0"/>
                <w:sz w:val="24"/>
              </w:rPr>
              <w:t>1500吨</w:t>
            </w:r>
            <w:r>
              <w:rPr>
                <w:rStyle w:val="14"/>
                <w:rFonts w:hint="default" w:ascii="Times New Roman" w:hAnsi="Times New Roman"/>
              </w:rPr>
              <w:t>；其二约18m*9.5m*4m，684m</w:t>
            </w:r>
            <w:r>
              <w:rPr>
                <w:rFonts w:ascii="Times New Roman" w:hAnsi="Times New Roman" w:eastAsia="仿宋_GB2312"/>
                <w:color w:val="000000"/>
                <w:kern w:val="0"/>
                <w:sz w:val="24"/>
              </w:rPr>
              <w:t>³，</w:t>
            </w:r>
            <w:r>
              <w:rPr>
                <w:rStyle w:val="24"/>
                <w:rFonts w:hint="default" w:ascii="Times New Roman" w:hAnsi="Times New Roman" w:eastAsia="仿宋_GB2312"/>
              </w:rPr>
              <w:t>可储存农产品</w:t>
            </w:r>
            <w:r>
              <w:rPr>
                <w:rFonts w:ascii="Times New Roman" w:hAnsi="Times New Roman" w:eastAsia="仿宋_GB2312"/>
                <w:color w:val="000000"/>
                <w:kern w:val="0"/>
                <w:sz w:val="24"/>
              </w:rPr>
              <w:t>500吨</w:t>
            </w:r>
            <w:r>
              <w:rPr>
                <w:rStyle w:val="14"/>
                <w:rFonts w:hint="default" w:ascii="Times New Roman" w:hAnsi="Times New Roman"/>
              </w:rPr>
              <w:t>；配置库板、制冷系统、控制系统、管路及工艺、排水系统安装运输等。</w:t>
            </w:r>
          </w:p>
        </w:tc>
        <w:tc>
          <w:tcPr>
            <w:tcW w:w="2835" w:type="dxa"/>
            <w:tcBorders>
              <w:top w:val="single" w:color="000000" w:sz="4" w:space="0"/>
              <w:left w:val="single" w:color="000000" w:sz="4" w:space="0"/>
              <w:bottom w:val="single" w:color="000000" w:sz="4" w:space="0"/>
              <w:right w:val="single" w:color="000000" w:sz="4" w:space="0"/>
            </w:tcBorders>
            <w:noWrap w:val="0"/>
            <w:vAlign w:val="center"/>
          </w:tcPr>
          <w:p w14:paraId="4A1F0E83">
            <w:pPr>
              <w:widowControl/>
              <w:spacing w:line="300" w:lineRule="exact"/>
              <w:jc w:val="left"/>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可进一步扩大沐川县魔芋等农产品出口，降低鲜魔芋损耗率15%，提升魔芋附加值30%。带动沐川县农户发展特色效益农业，带动周边近1万农民增收。</w:t>
            </w:r>
          </w:p>
        </w:tc>
      </w:tr>
    </w:tbl>
    <w:p w14:paraId="08BF6AA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p>
    <w:p w14:paraId="34B4F5C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cs="Times New Roman"/>
          <w:sz w:val="24"/>
          <w:szCs w:val="24"/>
        </w:rPr>
      </w:pPr>
    </w:p>
    <w:sectPr>
      <w:pgSz w:w="16838" w:h="11906" w:orient="landscape"/>
      <w:pgMar w:top="567"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2"/>
    <w:multiLevelType w:val="multilevel"/>
    <w:tmpl w:val="00000022"/>
    <w:lvl w:ilvl="0" w:tentative="0">
      <w:start w:val="1"/>
      <w:numFmt w:val="decimal"/>
      <w:lvlText w:val="第%1章"/>
      <w:lvlJc w:val="left"/>
      <w:pPr>
        <w:ind w:left="4111" w:hanging="425"/>
      </w:pPr>
      <w:rPr>
        <w:rFonts w:hint="eastAsia" w:ascii="宋体" w:hAnsi="宋体" w:eastAsia="宋体"/>
        <w:b/>
        <w:i w:val="0"/>
        <w:sz w:val="36"/>
        <w:szCs w:val="32"/>
      </w:rPr>
    </w:lvl>
    <w:lvl w:ilvl="1" w:tentative="0">
      <w:start w:val="1"/>
      <w:numFmt w:val="decimal"/>
      <w:lvlText w:val="%2."/>
      <w:lvlJc w:val="left"/>
      <w:pPr>
        <w:ind w:left="4253" w:hanging="567"/>
      </w:pPr>
      <w:rPr>
        <w:rFonts w:hint="default" w:ascii="Times New Roman" w:hAnsi="Times New Roman" w:eastAsia="宋体"/>
        <w:b/>
        <w:i w:val="0"/>
        <w:color w:val="auto"/>
        <w:sz w:val="28"/>
        <w:szCs w:val="28"/>
      </w:rPr>
    </w:lvl>
    <w:lvl w:ilvl="2" w:tentative="0">
      <w:start w:val="1"/>
      <w:numFmt w:val="none"/>
      <w:suff w:val="space"/>
      <w:lvlText w:val="2.1"/>
      <w:lvlJc w:val="left"/>
      <w:pPr>
        <w:ind w:left="4253" w:hanging="567"/>
      </w:pPr>
      <w:rPr>
        <w:rFonts w:hint="default" w:ascii="Times New Roman" w:hAnsi="Times New Roman" w:cs="Times New Roman"/>
        <w:b/>
        <w:i w:val="0"/>
        <w:sz w:val="24"/>
        <w:szCs w:val="24"/>
      </w:rPr>
    </w:lvl>
    <w:lvl w:ilvl="3" w:tentative="0">
      <w:start w:val="1"/>
      <w:numFmt w:val="decimal"/>
      <w:suff w:val="nothing"/>
      <w:lvlText w:val="%1.%2.%3.%4"/>
      <w:lvlJc w:val="left"/>
      <w:pPr>
        <w:ind w:left="5103" w:hanging="708"/>
      </w:pPr>
      <w:rPr>
        <w:rFonts w:hint="default" w:ascii="Times New Roman" w:hAnsi="Times New Roman" w:eastAsia="宋体" w:cs="Calibri"/>
        <w:b/>
        <w:sz w:val="24"/>
        <w:szCs w:val="28"/>
      </w:rPr>
    </w:lvl>
    <w:lvl w:ilvl="4" w:tentative="0">
      <w:start w:val="1"/>
      <w:numFmt w:val="decimal"/>
      <w:pStyle w:val="2"/>
      <w:lvlText w:val="%1.%2.%3.%4.%5"/>
      <w:lvlJc w:val="left"/>
      <w:pPr>
        <w:ind w:left="5953" w:hanging="850"/>
      </w:pPr>
      <w:rPr>
        <w:rFonts w:hint="default" w:ascii="Times New Roman" w:hAnsi="Times New Roman" w:cs="Times New Roman"/>
      </w:rPr>
    </w:lvl>
    <w:lvl w:ilvl="5" w:tentative="0">
      <w:start w:val="1"/>
      <w:numFmt w:val="decimal"/>
      <w:lvlText w:val="%1.%2.%3.%4.%5.%6"/>
      <w:lvlJc w:val="left"/>
      <w:pPr>
        <w:ind w:left="6662" w:hanging="1134"/>
      </w:pPr>
      <w:rPr>
        <w:rFonts w:hint="eastAsia"/>
      </w:rPr>
    </w:lvl>
    <w:lvl w:ilvl="6" w:tentative="0">
      <w:start w:val="1"/>
      <w:numFmt w:val="decimal"/>
      <w:lvlText w:val="%1.%2.%3.%4.%5.%6.%7"/>
      <w:lvlJc w:val="left"/>
      <w:pPr>
        <w:ind w:left="7229" w:hanging="1276"/>
      </w:pPr>
      <w:rPr>
        <w:rFonts w:hint="eastAsia"/>
      </w:rPr>
    </w:lvl>
    <w:lvl w:ilvl="7" w:tentative="0">
      <w:start w:val="1"/>
      <w:numFmt w:val="decimal"/>
      <w:lvlText w:val="%1.%2.%3.%4.%5.%6.%7.%8"/>
      <w:lvlJc w:val="left"/>
      <w:pPr>
        <w:ind w:left="7796" w:hanging="1418"/>
      </w:pPr>
      <w:rPr>
        <w:rFonts w:hint="eastAsia"/>
      </w:rPr>
    </w:lvl>
    <w:lvl w:ilvl="8" w:tentative="0">
      <w:start w:val="1"/>
      <w:numFmt w:val="decimal"/>
      <w:lvlText w:val="%1.%2.%3.%4.%5.%6.%7.%8.%9"/>
      <w:lvlJc w:val="left"/>
      <w:pPr>
        <w:ind w:left="8504"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xMDBkZjNjMjg0NzhjMGUyN2NmY2Q2MTE5ZTIzNjEifQ=="/>
  </w:docVars>
  <w:rsids>
    <w:rsidRoot w:val="00F4331A"/>
    <w:rsid w:val="00156764"/>
    <w:rsid w:val="00221FBE"/>
    <w:rsid w:val="003A5882"/>
    <w:rsid w:val="00416C2E"/>
    <w:rsid w:val="004C7551"/>
    <w:rsid w:val="004E1D12"/>
    <w:rsid w:val="00637253"/>
    <w:rsid w:val="00957E25"/>
    <w:rsid w:val="00AB3EA0"/>
    <w:rsid w:val="00BC257C"/>
    <w:rsid w:val="00BF1C80"/>
    <w:rsid w:val="00C06705"/>
    <w:rsid w:val="00C52AB3"/>
    <w:rsid w:val="00E17C66"/>
    <w:rsid w:val="00F4331A"/>
    <w:rsid w:val="1BBB0851"/>
    <w:rsid w:val="1BFB876F"/>
    <w:rsid w:val="1F6DA501"/>
    <w:rsid w:val="2AF60A46"/>
    <w:rsid w:val="2EB99BDE"/>
    <w:rsid w:val="39BD2100"/>
    <w:rsid w:val="3D3F7AC6"/>
    <w:rsid w:val="3F270EFA"/>
    <w:rsid w:val="3FDFFB9B"/>
    <w:rsid w:val="46776639"/>
    <w:rsid w:val="52401907"/>
    <w:rsid w:val="57EF06A8"/>
    <w:rsid w:val="5AF65BDD"/>
    <w:rsid w:val="5BB76879"/>
    <w:rsid w:val="5BBF7DCC"/>
    <w:rsid w:val="5EEC9440"/>
    <w:rsid w:val="67D855DB"/>
    <w:rsid w:val="6AADFBBF"/>
    <w:rsid w:val="6F73F552"/>
    <w:rsid w:val="75B84B2E"/>
    <w:rsid w:val="76D5AC9B"/>
    <w:rsid w:val="79F763B8"/>
    <w:rsid w:val="7ADF629F"/>
    <w:rsid w:val="7BCE0BBB"/>
    <w:rsid w:val="7F45554A"/>
    <w:rsid w:val="7FF314B0"/>
    <w:rsid w:val="7FFF40E0"/>
    <w:rsid w:val="853BE6E3"/>
    <w:rsid w:val="A4DCB627"/>
    <w:rsid w:val="A5F7A35D"/>
    <w:rsid w:val="B678EE77"/>
    <w:rsid w:val="BBEF73D6"/>
    <w:rsid w:val="D5F32842"/>
    <w:rsid w:val="DB6D4B9A"/>
    <w:rsid w:val="DE7C51B8"/>
    <w:rsid w:val="E3FD5B1E"/>
    <w:rsid w:val="E9FAEF4A"/>
    <w:rsid w:val="EFFFD964"/>
    <w:rsid w:val="F376B0F1"/>
    <w:rsid w:val="F75FE93A"/>
    <w:rsid w:val="F7BFB699"/>
    <w:rsid w:val="F97E6858"/>
    <w:rsid w:val="FDAD658A"/>
    <w:rsid w:val="FE3FC347"/>
    <w:rsid w:val="FFBD50BD"/>
    <w:rsid w:val="FFDFC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3"/>
    <w:qFormat/>
    <w:uiPriority w:val="0"/>
    <w:pPr>
      <w:keepNext/>
      <w:keepLines/>
      <w:widowControl w:val="0"/>
      <w:numPr>
        <w:ilvl w:val="4"/>
        <w:numId w:val="1"/>
      </w:numPr>
      <w:spacing w:before="280" w:after="156" w:line="377" w:lineRule="auto"/>
      <w:jc w:val="both"/>
      <w:outlineLvl w:val="4"/>
    </w:pPr>
    <w:rPr>
      <w:rFonts w:ascii="Arial" w:hAnsi="Arial" w:eastAsia="黑体" w:cs="Times New Roman"/>
      <w:b/>
      <w:kern w:val="2"/>
      <w:sz w:val="32"/>
      <w:szCs w:val="28"/>
      <w:lang w:val="en-US" w:eastAsia="zh-CN" w:bidi="ar-SA"/>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footer"/>
    <w:basedOn w:val="1"/>
    <w:link w:val="10"/>
    <w:semiHidden/>
    <w:unhideWhenUsed/>
    <w:qFormat/>
    <w:uiPriority w:val="99"/>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3">
    <w:name w:val="正文 New New New New New New"/>
    <w:qFormat/>
    <w:uiPriority w:val="0"/>
    <w:pPr>
      <w:widowControl w:val="0"/>
      <w:jc w:val="both"/>
    </w:pPr>
    <w:rPr>
      <w:rFonts w:ascii="Calibri" w:hAnsi="Calibri" w:eastAsia="宋体" w:cs="Calibri"/>
      <w:kern w:val="2"/>
      <w:sz w:val="21"/>
      <w:szCs w:val="21"/>
      <w:lang w:val="en-US" w:eastAsia="zh-CN" w:bidi="ar-SA"/>
    </w:rPr>
  </w:style>
  <w:style w:type="character" w:customStyle="1" w:styleId="14">
    <w:name w:val="font101"/>
    <w:basedOn w:val="8"/>
    <w:qFormat/>
    <w:uiPriority w:val="0"/>
    <w:rPr>
      <w:rFonts w:hint="default" w:ascii="仿宋_GB2312" w:eastAsia="仿宋_GB2312" w:cs="仿宋_GB2312"/>
      <w:color w:val="000000"/>
      <w:sz w:val="24"/>
      <w:szCs w:val="24"/>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71"/>
    <w:basedOn w:val="8"/>
    <w:qFormat/>
    <w:uiPriority w:val="0"/>
    <w:rPr>
      <w:rFonts w:hint="eastAsia" w:ascii="方正仿宋_GBK" w:hAnsi="方正仿宋_GBK" w:eastAsia="方正仿宋_GBK" w:cs="方正仿宋_GBK"/>
      <w:color w:val="000000"/>
      <w:sz w:val="24"/>
      <w:szCs w:val="24"/>
      <w:u w:val="none"/>
    </w:rPr>
  </w:style>
  <w:style w:type="character" w:customStyle="1" w:styleId="17">
    <w:name w:val="font51"/>
    <w:basedOn w:val="8"/>
    <w:qFormat/>
    <w:uiPriority w:val="0"/>
    <w:rPr>
      <w:rFonts w:hint="eastAsia" w:ascii="方正仿宋_GBK" w:hAnsi="方正仿宋_GBK" w:eastAsia="方正仿宋_GBK" w:cs="方正仿宋_GBK"/>
      <w:color w:val="000000"/>
      <w:sz w:val="24"/>
      <w:szCs w:val="24"/>
      <w:u w:val="none"/>
    </w:rPr>
  </w:style>
  <w:style w:type="character" w:customStyle="1" w:styleId="18">
    <w:name w:val="font112"/>
    <w:basedOn w:val="8"/>
    <w:qFormat/>
    <w:uiPriority w:val="0"/>
    <w:rPr>
      <w:rFonts w:hint="eastAsia" w:ascii="方正仿宋_GBK" w:hAnsi="方正仿宋_GBK" w:eastAsia="方正仿宋_GBK" w:cs="方正仿宋_GBK"/>
      <w:color w:val="000000"/>
      <w:sz w:val="24"/>
      <w:szCs w:val="24"/>
      <w:u w:val="none"/>
    </w:rPr>
  </w:style>
  <w:style w:type="character" w:customStyle="1" w:styleId="19">
    <w:name w:val="font11"/>
    <w:basedOn w:val="8"/>
    <w:qFormat/>
    <w:uiPriority w:val="0"/>
    <w:rPr>
      <w:rFonts w:ascii="方正书宋_GBK" w:hAnsi="方正书宋_GBK" w:eastAsia="方正书宋_GBK" w:cs="方正书宋_GBK"/>
      <w:color w:val="000000"/>
      <w:sz w:val="24"/>
      <w:szCs w:val="24"/>
      <w:u w:val="none"/>
    </w:rPr>
  </w:style>
  <w:style w:type="character" w:customStyle="1" w:styleId="20">
    <w:name w:val="font01"/>
    <w:basedOn w:val="8"/>
    <w:qFormat/>
    <w:uiPriority w:val="0"/>
    <w:rPr>
      <w:rFonts w:hint="eastAsia" w:ascii="方正仿宋_GBK" w:hAnsi="方正仿宋_GBK" w:eastAsia="方正仿宋_GBK" w:cs="方正仿宋_GBK"/>
      <w:color w:val="000000"/>
      <w:sz w:val="24"/>
      <w:szCs w:val="24"/>
      <w:u w:val="none"/>
    </w:rPr>
  </w:style>
  <w:style w:type="character" w:customStyle="1" w:styleId="21">
    <w:name w:val="font111"/>
    <w:basedOn w:val="8"/>
    <w:qFormat/>
    <w:uiPriority w:val="0"/>
    <w:rPr>
      <w:rFonts w:hint="eastAsia" w:ascii="方正仿宋_GBK" w:hAnsi="方正仿宋_GBK" w:eastAsia="方正仿宋_GBK" w:cs="方正仿宋_GBK"/>
      <w:color w:val="000000"/>
      <w:sz w:val="24"/>
      <w:szCs w:val="24"/>
      <w:u w:val="none"/>
    </w:rPr>
  </w:style>
  <w:style w:type="character" w:customStyle="1" w:styleId="22">
    <w:name w:val="font12"/>
    <w:basedOn w:val="8"/>
    <w:qFormat/>
    <w:uiPriority w:val="0"/>
    <w:rPr>
      <w:rFonts w:ascii="方正书宋_GBK" w:hAnsi="方正书宋_GBK" w:eastAsia="方正书宋_GBK" w:cs="方正书宋_GBK"/>
      <w:color w:val="000000"/>
      <w:sz w:val="24"/>
      <w:szCs w:val="24"/>
      <w:u w:val="none"/>
    </w:rPr>
  </w:style>
  <w:style w:type="character" w:customStyle="1" w:styleId="23">
    <w:name w:val="font31"/>
    <w:basedOn w:val="8"/>
    <w:qFormat/>
    <w:uiPriority w:val="0"/>
    <w:rPr>
      <w:rFonts w:hint="eastAsia" w:ascii="方正仿宋_GBK" w:hAnsi="方正仿宋_GBK" w:eastAsia="方正仿宋_GBK" w:cs="方正仿宋_GBK"/>
      <w:color w:val="000000"/>
      <w:sz w:val="24"/>
      <w:szCs w:val="24"/>
      <w:u w:val="none"/>
    </w:rPr>
  </w:style>
  <w:style w:type="character" w:customStyle="1" w:styleId="24">
    <w:name w:val="font81"/>
    <w:basedOn w:val="8"/>
    <w:qFormat/>
    <w:uiPriority w:val="0"/>
    <w:rPr>
      <w:rFonts w:hint="eastAsia" w:ascii="方正仿宋_GBK" w:hAnsi="方正仿宋_GBK" w:eastAsia="方正仿宋_GBK" w:cs="方正仿宋_GBK"/>
      <w:color w:val="000000"/>
      <w:sz w:val="24"/>
      <w:szCs w:val="24"/>
      <w:u w:val="none"/>
    </w:rPr>
  </w:style>
  <w:style w:type="character" w:customStyle="1" w:styleId="25">
    <w:name w:val="font12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Company>
  <Pages>3</Pages>
  <Words>1721</Words>
  <Characters>2002</Characters>
  <Lines>3</Lines>
  <Paragraphs>1</Paragraphs>
  <TotalTime>8</TotalTime>
  <ScaleCrop>false</ScaleCrop>
  <LinksUpToDate>false</LinksUpToDate>
  <CharactersWithSpaces>2010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2021-04-29T07:21:00Z</dcterms:created>
  <dc:creator>User</dc:creator>
  <cp:lastModifiedBy>月牙台</cp:lastModifiedBy>
  <cp:lastPrinted>2024-08-01T01:40:00Z</cp:lastPrinted>
  <dcterms:modified xsi:type="dcterms:W3CDTF">2024-08-01T07:29:01Z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13071316F35B499992FA667A08164462_13</vt:lpwstr>
  </property>
</Properties>
</file>