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96" w:rsidRDefault="00682796" w:rsidP="00682796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682796" w:rsidRDefault="00682796" w:rsidP="00682796">
      <w:pPr>
        <w:spacing w:line="576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ascii="宋体" w:cs="宋体" w:hint="eastAsia"/>
          <w:b/>
          <w:color w:val="000000"/>
          <w:kern w:val="0"/>
          <w:sz w:val="44"/>
          <w:szCs w:val="44"/>
        </w:rPr>
        <w:t>会展活动实施方案</w:t>
      </w:r>
    </w:p>
    <w:p w:rsidR="00682796" w:rsidRDefault="00682796" w:rsidP="00682796">
      <w:pPr>
        <w:pStyle w:val="a5"/>
        <w:spacing w:line="576" w:lineRule="exact"/>
        <w:rPr>
          <w:rFonts w:ascii="仿宋_GB2312" w:eastAsia="仿宋_GB2312"/>
          <w:color w:val="313131"/>
          <w:sz w:val="32"/>
          <w:szCs w:val="32"/>
        </w:rPr>
      </w:pPr>
    </w:p>
    <w:p w:rsidR="00682796" w:rsidRDefault="00682796" w:rsidP="00682796">
      <w:pPr>
        <w:pStyle w:val="a5"/>
        <w:spacing w:line="600" w:lineRule="exact"/>
        <w:rPr>
          <w:rFonts w:ascii="黑体" w:eastAsia="黑体"/>
          <w:b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1、展会组织机构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主办单位：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承办单位：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协办单位：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支持单位：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2、展会时间及地点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展会时间：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展会地点：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3、展会主题：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4、展会概述：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a、展会背景：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b、往届回顾：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c、展品范围：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lastRenderedPageBreak/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5、展区规划：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本届展会共计规划X个展馆，X号馆—X号馆为XX展示馆;X号馆—X号馆为XX展示馆，室外展区XX平方米。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6、展会规模：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本届展会预计展出总面积XX平方米，参展企业XX家，标准展位预计XX个，特装面积XX平方米。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7、展览会资金来源及预算计划说明：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8、收费标准：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a、展位价格说明(标展、空地)：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b、广告及赞助价格说明：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9、招商招展宣传推广计划：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10、参展商及展品资质审查方案：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11、配套活动实施方案：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a、活动名称：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b、活动地点：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c、活动规模：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d、活动概述：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12、拟邀请重要嘉宾或组织名单：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lastRenderedPageBreak/>
        <w:t xml:space="preserve">　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13、组委会银行账户信息：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开户银行：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开户名称：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开户账号：</w:t>
      </w:r>
    </w:p>
    <w:p w:rsidR="00682796" w:rsidRDefault="00682796" w:rsidP="00682796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</w:t>
      </w:r>
      <w:r>
        <w:rPr>
          <w:rStyle w:val="a6"/>
          <w:rFonts w:ascii="黑体" w:eastAsia="黑体" w:hint="eastAsia"/>
          <w:color w:val="313131"/>
          <w:sz w:val="32"/>
          <w:szCs w:val="32"/>
        </w:rPr>
        <w:t>14、组委会办公地点及主要负责人和联系人电话：</w:t>
      </w:r>
    </w:p>
    <w:p w:rsidR="000D5540" w:rsidRPr="00682796" w:rsidRDefault="000D5540"/>
    <w:sectPr w:rsidR="000D5540" w:rsidRPr="00682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40" w:rsidRDefault="000D5540" w:rsidP="00682796">
      <w:r>
        <w:separator/>
      </w:r>
    </w:p>
  </w:endnote>
  <w:endnote w:type="continuationSeparator" w:id="1">
    <w:p w:rsidR="000D5540" w:rsidRDefault="000D5540" w:rsidP="0068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40" w:rsidRDefault="000D5540" w:rsidP="00682796">
      <w:r>
        <w:separator/>
      </w:r>
    </w:p>
  </w:footnote>
  <w:footnote w:type="continuationSeparator" w:id="1">
    <w:p w:rsidR="000D5540" w:rsidRDefault="000D5540" w:rsidP="0068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96"/>
    <w:rsid w:val="000D5540"/>
    <w:rsid w:val="0068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7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7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796"/>
    <w:rPr>
      <w:sz w:val="18"/>
      <w:szCs w:val="18"/>
    </w:rPr>
  </w:style>
  <w:style w:type="paragraph" w:styleId="a5">
    <w:name w:val="Normal (Web)"/>
    <w:next w:val="6"/>
    <w:qFormat/>
    <w:rsid w:val="00682796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1"/>
    </w:rPr>
  </w:style>
  <w:style w:type="character" w:styleId="a6">
    <w:name w:val="Strong"/>
    <w:qFormat/>
    <w:rsid w:val="00682796"/>
    <w:rPr>
      <w:b/>
    </w:rPr>
  </w:style>
  <w:style w:type="paragraph" w:styleId="6">
    <w:name w:val="index 6"/>
    <w:basedOn w:val="a"/>
    <w:next w:val="a"/>
    <w:autoRedefine/>
    <w:uiPriority w:val="99"/>
    <w:semiHidden/>
    <w:unhideWhenUsed/>
    <w:rsid w:val="00682796"/>
    <w:pPr>
      <w:ind w:leftChars="1000" w:left="10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王远刚</dc:creator>
  <cp:keywords/>
  <dc:description/>
  <cp:lastModifiedBy>王远刚</cp:lastModifiedBy>
  <cp:revision>2</cp:revision>
  <dcterms:created xsi:type="dcterms:W3CDTF">2018-10-23T09:36:00Z</dcterms:created>
  <dcterms:modified xsi:type="dcterms:W3CDTF">2018-10-23T09:37:00Z</dcterms:modified>
</cp:coreProperties>
</file>